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NOTICE OF INTENTION TO BEGIN PROCEEDINGS FOR POSSESSION OF A PROPERTY IN ENGLAND LET ON AN ASSURED TENANCY OR AN ASSURED AGRICULTURAL OCCUPANCY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FORM NO. 3</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Housing Act 1988 section 8 (as amended)</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INFORMATION FOR THE TENANT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This notice tells you that your landlord intends to begin proceedings for possession of the property identified in section 2. You should read it carefully and seek advice about your circumstances as quickly as possible.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earliest date on which possession proceedings can begin will depend on the ground(s) on which possession is sought and is given in section 5 of the notice.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If you are worried about this notice, and what you should do about it, take it immediately to Citizens Advice, a housing advice centre, a law centre, or a solicitor.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If you are a debtor and you are in a ‘breathing space’, you should inform your debt advisor.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If you believe you are at risk of homelessness as a result of receiving this notice, you should contact your local authority for support.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Free independent advice is also available from Shelterline on 0808 800 4444 or via the Shelter website at: </w:t>
      </w:r>
      <w:hyperlink r:id="rId7">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https://www.shelter.org.uk/</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Further information about this notice and the possession process can be found at: </w:t>
      </w:r>
      <w:hyperlink r:id="rId8">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https://www.gov.uk/government/publications/understanding-the-possession-action-process-guidance-for-landlords-and-tenants</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To: _____________________________ (insert full name(s) of tenant(s) / licensee(s))</w:t>
        <w:tab/>
        <w:tab/>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Your landlord/licensor intends to apply to the court for an order requiring you to give up possession of: (insert address of property) </w:t>
        <w:tab/>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___________________________________________________________________________________________________________________________________________________________________________________________________________________________</w:t>
        <w:tab/>
        <w:tab/>
        <w:tab/>
        <w:tab/>
        <w:tab/>
        <w:tab/>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Your landlord/licensor intends to seek possession on the ground(s): (insert relevant ground(s))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 Schedule 2 to the Housing Act 1988 (as amended), which read(s):</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Give the full text (as set out in Schedule 2 of the Housing Act 1988 (as amended)) of each ground that is being relied on:</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___________________________________________________________________________________________________________________________________________________________________________________________________________________________ (Continue on a separate sheet if necessary.)</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Give a full explanation of why each ground is being relied on:</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(Continue on a separate sheet if necessary.)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The court proceedings will not begin earlier than: (insert a calendar date in accordance with the notice period required for the ground(s) being relied on as set out in section 8 Housing Act 1988 (as amended))</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_________________________________________________________________________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 If your landlord/licensor does not apply to the court within a given timeframe this notice will lapse. The latest date for court proceedings to begin is 12 months from the date of service of this notice, subject to any extension in accordance with the Debt Respite Scheme (Breathing Space Moratorium and Mental Health Crisis Moratorium) (England and Wales) Regulations 2020.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 Name and address of landlord, licensor or landlord’s agent:</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 be completed in full by the landlord, licensor, or, in the case of joint landlords/licensors, at least one of the joint landlords/licensors, or by someone authorised to give notice on the landlord’s / licensor’s behalf.)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Signed</w:t>
        <w:tab/>
        <w:t xml:space="preserve">___________________________________________________________________</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Name ____________________________________________________________________</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Address __________________________________________________________________</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Telephone number __________________________________________________________</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Signed ___________________________________________________________________</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Name ____________________________________________________________________</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Address __________________________________________________________________</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Telephone number __________________________________________________________</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Capacity (please tick): </w:t>
        <w:tab/>
      </w:r>
      <w:r w:rsidDel="00000000" w:rsidR="00000000" w:rsidRPr="00000000">
        <w:rPr>
          <w:rFonts w:ascii="Arimo" w:cs="Arimo" w:eastAsia="Arimo" w:hAnsi="Arimo"/>
          <w:b w:val="0"/>
          <w:i w:val="0"/>
          <w:smallCaps w:val="0"/>
          <w:strike w:val="0"/>
          <w:color w:val="4d5156"/>
          <w:sz w:val="28"/>
          <w:szCs w:val="28"/>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landlord/licensor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tab/>
        <w:tab/>
        <w:tab/>
        <w:tab/>
      </w:r>
      <w:r w:rsidDel="00000000" w:rsidR="00000000" w:rsidRPr="00000000">
        <w:rPr>
          <w:rFonts w:ascii="Arimo" w:cs="Arimo" w:eastAsia="Arimo" w:hAnsi="Arimo"/>
          <w:b w:val="0"/>
          <w:i w:val="0"/>
          <w:smallCaps w:val="0"/>
          <w:strike w:val="0"/>
          <w:color w:val="4d5156"/>
          <w:sz w:val="28"/>
          <w:szCs w:val="28"/>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d5156"/>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joint landlord(s) / licensor(s)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tab/>
        <w:tab/>
        <w:tab/>
        <w:tab/>
      </w:r>
      <w:r w:rsidDel="00000000" w:rsidR="00000000" w:rsidRPr="00000000">
        <w:rPr>
          <w:rFonts w:ascii="Arimo" w:cs="Arimo" w:eastAsia="Arimo" w:hAnsi="Arimo"/>
          <w:b w:val="0"/>
          <w:i w:val="0"/>
          <w:smallCaps w:val="0"/>
          <w:strike w:val="0"/>
          <w:color w:val="4d5156"/>
          <w:sz w:val="28"/>
          <w:szCs w:val="28"/>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d5156"/>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landlord’s / licensor’s agent</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Date _____________________________________________________________________</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DISCLAIMER</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This is a Section 8 Notice Sample for England and may not be suitable for all situations.</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Please, always check the specific eviction notice requirements for your location, there are many different situations with different requirements depending on the country (England, Wales, Scotland, or Northern Ireland).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629" w:right="0" w:hanging="409"/>
        <w:jc w:val="left"/>
        <w:rPr/>
      </w:pPr>
      <w:hyperlink r:id="rId9">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https://www.gov.uk/evicting-tenants</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for England </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629" w:right="0" w:hanging="409"/>
        <w:jc w:val="left"/>
        <w:rPr/>
      </w:pPr>
      <w:hyperlink r:id="rId10">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https://www.gov.wales/understanding-possession-action-process-guidance-tenants-contract-holders-html</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for Wales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629" w:right="0" w:hanging="409"/>
        <w:jc w:val="left"/>
        <w:rPr/>
      </w:pPr>
      <w:hyperlink r:id="rId11">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https://www.mygov.scot/ending-a-tenancy-as-a-landlord</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for Scotland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629" w:right="0" w:hanging="409"/>
        <w:jc w:val="left"/>
        <w:rPr/>
      </w:pPr>
      <w:hyperlink r:id="rId12">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https://www.nidirect.gov.uk/articles/protection-against-eviction</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for Northern Ireland</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13" w:type="default"/>
      <w:footerReference r:id="rId14" w:type="default"/>
      <w:pgSz w:h="16840" w:w="1190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6"/>
        <w:tab w:val="right" w:leader="none" w:pos="9632"/>
      </w:tabs>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6"/>
        <w:tab w:val="right" w:leader="none" w:pos="9632"/>
      </w:tabs>
      <w:spacing w:after="20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104842" cy="199486"/>
          <wp:effectExtent b="0" l="0" r="0" t="0"/>
          <wp:docPr descr="pasted-image.pdf" id="1073741826" name="image1.png"/>
          <a:graphic>
            <a:graphicData uri="http://schemas.openxmlformats.org/drawingml/2006/picture">
              <pic:pic>
                <pic:nvPicPr>
                  <pic:cNvPr descr="pasted-image.pdf" id="0" name="image1.png"/>
                  <pic:cNvPicPr preferRelativeResize="0"/>
                </pic:nvPicPr>
                <pic:blipFill>
                  <a:blip r:embed="rId1"/>
                  <a:srcRect b="0" l="0" r="0" t="0"/>
                  <a:stretch>
                    <a:fillRect/>
                  </a:stretch>
                </pic:blipFill>
                <pic:spPr>
                  <a:xfrm>
                    <a:off x="0" y="0"/>
                    <a:ext cx="1104842" cy="199486"/>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29" w:hanging="409"/>
      </w:pPr>
      <w:rPr>
        <w:rFonts w:ascii="Arial" w:cs="Arial" w:eastAsia="Arial" w:hAnsi="Arial"/>
        <w:b w:val="0"/>
        <w:i w:val="0"/>
        <w:smallCaps w:val="0"/>
        <w:strike w:val="0"/>
        <w:color w:val="1155cc"/>
        <w:shd w:fill="auto" w:val="clear"/>
        <w:vertAlign w:val="baseline"/>
      </w:rPr>
    </w:lvl>
    <w:lvl w:ilvl="1">
      <w:start w:val="1"/>
      <w:numFmt w:val="bullet"/>
      <w:lvlText w:val="•"/>
      <w:lvlJc w:val="left"/>
      <w:pPr>
        <w:ind w:left="849" w:hanging="408.99999999999994"/>
      </w:pPr>
      <w:rPr>
        <w:rFonts w:ascii="Arial" w:cs="Arial" w:eastAsia="Arial" w:hAnsi="Arial"/>
        <w:b w:val="0"/>
        <w:i w:val="0"/>
        <w:smallCaps w:val="0"/>
        <w:strike w:val="0"/>
        <w:color w:val="1155cc"/>
        <w:shd w:fill="auto" w:val="clear"/>
        <w:vertAlign w:val="baseline"/>
      </w:rPr>
    </w:lvl>
    <w:lvl w:ilvl="2">
      <w:start w:val="1"/>
      <w:numFmt w:val="bullet"/>
      <w:lvlText w:val="•"/>
      <w:lvlJc w:val="left"/>
      <w:pPr>
        <w:ind w:left="1069" w:hanging="409"/>
      </w:pPr>
      <w:rPr>
        <w:rFonts w:ascii="Arial" w:cs="Arial" w:eastAsia="Arial" w:hAnsi="Arial"/>
        <w:b w:val="0"/>
        <w:i w:val="0"/>
        <w:smallCaps w:val="0"/>
        <w:strike w:val="0"/>
        <w:color w:val="1155cc"/>
        <w:shd w:fill="auto" w:val="clear"/>
        <w:vertAlign w:val="baseline"/>
      </w:rPr>
    </w:lvl>
    <w:lvl w:ilvl="3">
      <w:start w:val="1"/>
      <w:numFmt w:val="bullet"/>
      <w:lvlText w:val="•"/>
      <w:lvlJc w:val="left"/>
      <w:pPr>
        <w:ind w:left="1289" w:hanging="409"/>
      </w:pPr>
      <w:rPr>
        <w:rFonts w:ascii="Arial" w:cs="Arial" w:eastAsia="Arial" w:hAnsi="Arial"/>
        <w:b w:val="0"/>
        <w:i w:val="0"/>
        <w:smallCaps w:val="0"/>
        <w:strike w:val="0"/>
        <w:color w:val="1155cc"/>
        <w:shd w:fill="auto" w:val="clear"/>
        <w:vertAlign w:val="baseline"/>
      </w:rPr>
    </w:lvl>
    <w:lvl w:ilvl="4">
      <w:start w:val="1"/>
      <w:numFmt w:val="bullet"/>
      <w:lvlText w:val="•"/>
      <w:lvlJc w:val="left"/>
      <w:pPr>
        <w:ind w:left="1509" w:hanging="409"/>
      </w:pPr>
      <w:rPr>
        <w:rFonts w:ascii="Arial" w:cs="Arial" w:eastAsia="Arial" w:hAnsi="Arial"/>
        <w:b w:val="0"/>
        <w:i w:val="0"/>
        <w:smallCaps w:val="0"/>
        <w:strike w:val="0"/>
        <w:color w:val="1155cc"/>
        <w:shd w:fill="auto" w:val="clear"/>
        <w:vertAlign w:val="baseline"/>
      </w:rPr>
    </w:lvl>
    <w:lvl w:ilvl="5">
      <w:start w:val="1"/>
      <w:numFmt w:val="bullet"/>
      <w:lvlText w:val="•"/>
      <w:lvlJc w:val="left"/>
      <w:pPr>
        <w:ind w:left="1729" w:hanging="409"/>
      </w:pPr>
      <w:rPr>
        <w:rFonts w:ascii="Arial" w:cs="Arial" w:eastAsia="Arial" w:hAnsi="Arial"/>
        <w:b w:val="0"/>
        <w:i w:val="0"/>
        <w:smallCaps w:val="0"/>
        <w:strike w:val="0"/>
        <w:color w:val="1155cc"/>
        <w:shd w:fill="auto" w:val="clear"/>
        <w:vertAlign w:val="baseline"/>
      </w:rPr>
    </w:lvl>
    <w:lvl w:ilvl="6">
      <w:start w:val="1"/>
      <w:numFmt w:val="bullet"/>
      <w:lvlText w:val="•"/>
      <w:lvlJc w:val="left"/>
      <w:pPr>
        <w:ind w:left="1949" w:hanging="409"/>
      </w:pPr>
      <w:rPr>
        <w:rFonts w:ascii="Arial" w:cs="Arial" w:eastAsia="Arial" w:hAnsi="Arial"/>
        <w:b w:val="0"/>
        <w:i w:val="0"/>
        <w:smallCaps w:val="0"/>
        <w:strike w:val="0"/>
        <w:color w:val="1155cc"/>
        <w:shd w:fill="auto" w:val="clear"/>
        <w:vertAlign w:val="baseline"/>
      </w:rPr>
    </w:lvl>
    <w:lvl w:ilvl="7">
      <w:start w:val="1"/>
      <w:numFmt w:val="bullet"/>
      <w:lvlText w:val="•"/>
      <w:lvlJc w:val="left"/>
      <w:pPr>
        <w:ind w:left="2169" w:hanging="409"/>
      </w:pPr>
      <w:rPr>
        <w:rFonts w:ascii="Arial" w:cs="Arial" w:eastAsia="Arial" w:hAnsi="Arial"/>
        <w:b w:val="0"/>
        <w:i w:val="0"/>
        <w:smallCaps w:val="0"/>
        <w:strike w:val="0"/>
        <w:color w:val="1155cc"/>
        <w:shd w:fill="auto" w:val="clear"/>
        <w:vertAlign w:val="baseline"/>
      </w:rPr>
    </w:lvl>
    <w:lvl w:ilvl="8">
      <w:start w:val="1"/>
      <w:numFmt w:val="bullet"/>
      <w:lvlText w:val="•"/>
      <w:lvlJc w:val="left"/>
      <w:pPr>
        <w:ind w:left="2389" w:hanging="409"/>
      </w:pPr>
      <w:rPr>
        <w:rFonts w:ascii="Arial" w:cs="Arial" w:eastAsia="Arial" w:hAnsi="Arial"/>
        <w:b w:val="0"/>
        <w:i w:val="0"/>
        <w:smallCaps w:val="0"/>
        <w:strike w:val="0"/>
        <w:color w:val="1155cc"/>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Cabecera y pie">
    <w:name w:val="Cabecera y pie"/>
    <w:next w:val="Cabecera y pie"/>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Subtítulo">
    <w:name w:val="Subtítulo"/>
    <w:next w:val="Subtítulo"/>
    <w:pPr>
      <w:keepNext w:val="0"/>
      <w:keepLines w:val="0"/>
      <w:pageBreakBefore w:val="0"/>
      <w:widowControl w:val="1"/>
      <w:shd w:color="auto" w:fill="auto" w:val="clear"/>
      <w:suppressAutoHyphens w:val="0"/>
      <w:bidi w:val="0"/>
      <w:spacing w:after="200" w:before="0" w:line="240" w:lineRule="auto"/>
      <w:ind w:left="0" w:right="0" w:firstLine="0"/>
      <w:jc w:val="left"/>
      <w:outlineLvl w:val="9"/>
    </w:pPr>
    <w:rPr>
      <w:rFonts w:ascii="Times New Roman" w:cs="Arial Unicode MS" w:eastAsia="Arial Unicode MS" w:hAnsi="Times New Roman"/>
      <w:b w:val="1"/>
      <w:bCs w:val="1"/>
      <w:i w:val="0"/>
      <w:iCs w:val="0"/>
      <w:caps w:val="0"/>
      <w:smallCaps w:val="0"/>
      <w:strike w:val="0"/>
      <w:dstrike w:val="0"/>
      <w:outline w:val="0"/>
      <w:color w:val="000000"/>
      <w:spacing w:val="0"/>
      <w:kern w:val="0"/>
      <w:position w:val="0"/>
      <w:sz w:val="28"/>
      <w:szCs w:val="28"/>
      <w:u w:val="none"/>
      <w:shd w:color="auto" w:fill="auto" w:val="nil"/>
      <w:vertAlign w:val="baseline"/>
      <w:lang w:val="en-US"/>
      <w14:textFill>
        <w14:solidFill>
          <w14:srgbClr w14:val="000000"/>
        </w14:solidFill>
      </w14:textFill>
      <w14:textOutline>
        <w14:noFill/>
      </w14:textOutline>
    </w:rPr>
  </w:style>
  <w:style w:type="paragraph" w:styleId="Título">
    <w:name w:val="Título"/>
    <w:next w:val="Título"/>
    <w:pPr>
      <w:keepNext w:val="0"/>
      <w:keepLines w:val="0"/>
      <w:pageBreakBefore w:val="0"/>
      <w:widowControl w:val="1"/>
      <w:shd w:color="auto" w:fill="auto" w:val="clear"/>
      <w:suppressAutoHyphens w:val="0"/>
      <w:bidi w:val="0"/>
      <w:spacing w:after="0" w:before="0" w:line="240" w:lineRule="auto"/>
      <w:ind w:left="0" w:right="0" w:firstLine="0"/>
      <w:jc w:val="center"/>
      <w:outlineLvl w:val="9"/>
    </w:pPr>
    <w:rPr>
      <w:rFonts w:ascii="Times New Roman" w:cs="Times New Roman" w:eastAsia="Times New Roman" w:hAnsi="Times New Roman"/>
      <w:b w:val="1"/>
      <w:bCs w:val="1"/>
      <w:i w:val="0"/>
      <w:iCs w:val="0"/>
      <w:caps w:val="1"/>
      <w:strike w:val="0"/>
      <w:dstrike w:val="0"/>
      <w:outline w:val="0"/>
      <w:color w:val="000000"/>
      <w:spacing w:val="0"/>
      <w:kern w:val="0"/>
      <w:position w:val="0"/>
      <w:sz w:val="36"/>
      <w:szCs w:val="36"/>
      <w:u w:val="none"/>
      <w:shd w:color="auto" w:fill="auto" w:val="nil"/>
      <w:vertAlign w:val="baseline"/>
      <w14:textFill>
        <w14:solidFill>
          <w14:srgbClr w14:val="000000"/>
        </w14:solidFill>
      </w14:textFill>
      <w14:textOutline>
        <w14:noFill/>
      </w14:textOutline>
    </w:rPr>
  </w:style>
  <w:style w:type="character" w:styleId="Ninguno">
    <w:name w:val="Ninguno"/>
    <w:rPr>
      <w:lang w:val="de-DE"/>
    </w:rPr>
  </w:style>
  <w:style w:type="paragraph" w:styleId="Texto Base">
    <w:name w:val="Texto Base"/>
    <w:next w:val="Texto Base"/>
    <w:pPr>
      <w:keepNext w:val="0"/>
      <w:keepLines w:val="0"/>
      <w:pageBreakBefore w:val="0"/>
      <w:widowControl w:val="1"/>
      <w:shd w:color="auto" w:fill="auto" w:val="clear"/>
      <w:suppressAutoHyphens w:val="0"/>
      <w:bidi w:val="0"/>
      <w:spacing w:after="20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val="none"/>
      <w:shd w:color="auto" w:fill="auto" w:val="nil"/>
      <w:vertAlign w:val="baseline"/>
      <w:lang w:val="en-US"/>
      <w14:textFill>
        <w14:solidFill>
          <w14:srgbClr w14:val="000000"/>
        </w14:solidFill>
      </w14:textFill>
      <w14:textOutline>
        <w14:noFill/>
      </w14:textOutline>
    </w:rPr>
  </w:style>
  <w:style w:type="character" w:styleId="Hyperlink.0">
    <w:name w:val="Hyperlink.0"/>
    <w:basedOn w:val="Ninguno"/>
    <w:next w:val="Hyperlink.0"/>
    <w:rPr>
      <w:u w:val="single"/>
      <w:shd w:color="auto" w:fill="ffffff" w:val="clear"/>
    </w:rPr>
  </w:style>
  <w:style w:type="character" w:styleId="Hyperlink.1">
    <w:name w:val="Hyperlink.1"/>
    <w:basedOn w:val="Hyperlink"/>
    <w:next w:val="Hyperlink.1"/>
    <w:rPr>
      <w:u w:val="single"/>
    </w:rPr>
  </w:style>
  <w:style w:type="character" w:styleId="Hyperlink.2">
    <w:name w:val="Hyperlink.2"/>
    <w:basedOn w:val="Ninguno"/>
    <w:next w:val="Hyperlink.2"/>
    <w:rPr>
      <w:shd w:color="auto" w:fill="ffffff" w:val="clear"/>
    </w:rPr>
  </w:style>
  <w:style w:type="numbering" w:styleId="Viñeta">
    <w:name w:val="Viñeta"/>
    <w:pPr>
      <w:numPr>
        <w:numId w:val="1"/>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ygov.scot/ending-a-tenancy-as-a-landlord" TargetMode="External"/><Relationship Id="rId10" Type="http://schemas.openxmlformats.org/officeDocument/2006/relationships/hyperlink" Target="https://www.gov.wales/understanding-possession-action-process-guidance-tenants-contract-holders-html" TargetMode="External"/><Relationship Id="rId13" Type="http://schemas.openxmlformats.org/officeDocument/2006/relationships/header" Target="header1.xml"/><Relationship Id="rId12" Type="http://schemas.openxmlformats.org/officeDocument/2006/relationships/hyperlink" Target="https://www.nidirect.gov.uk/articles/protection-against-evic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evicting-tenant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helter.org.uk/" TargetMode="External"/><Relationship Id="rId8" Type="http://schemas.openxmlformats.org/officeDocument/2006/relationships/hyperlink" Target="https://www.gov.uk/government/publications/understanding-the-possession-action-process-guidance-for-landlords-and-tena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100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GjUSTdOvO1SU5B8aHttGESFAHg==">CgMxLjA4AHIhMXFOMldlRG8zbUMydklaWnZrLXZkQ2lHQ2V6a0Y3NTZk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